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May 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April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Square Denis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Treasurer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wrap-up (Saturday April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 / Toni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Community wide garage sale May 31st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Music Festival and Family Fun Day (Saturday August 23rd)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Movie in the Park (Tentatively Saturday September 20 7PM)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Clean up the Capital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Sara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Wrap-up May 4th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10th, Centennial Park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25th, Kinsella Park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Environmental update Sara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before="0" w:line="300" w:lineRule="auto"/>
        <w:ind w:left="720" w:hanging="360"/>
        <w:rPr>
          <w:rFonts w:ascii="Times New Roman" w:cs="Times New Roman" w:eastAsia="Times New Roman" w:hAnsi="Times New Roman"/>
          <w:b w:val="0"/>
          <w:sz w:val="28"/>
          <w:szCs w:val="28"/>
        </w:rPr>
      </w:pPr>
      <w:bookmarkStart w:colFirst="0" w:colLast="0" w:name="_xb5pw3uiub0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color w:val="052e41"/>
          <w:sz w:val="28"/>
          <w:szCs w:val="28"/>
          <w:rtl w:val="0"/>
        </w:rPr>
        <w:t xml:space="preserve">Ottawa Alert public emergency notification system </w:t>
      </w:r>
      <w:r w:rsidDel="00000000" w:rsidR="00000000" w:rsidRPr="00000000">
        <w:rPr>
          <w:rFonts w:ascii="Times New Roman" w:cs="Times New Roman" w:eastAsia="Times New Roman" w:hAnsi="Times New Roman"/>
          <w:color w:val="052e4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CCAC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June 4, 7PM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